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FBB8" w14:textId="7BC36618" w:rsidR="00831F9D" w:rsidRPr="006F6824" w:rsidRDefault="006F6824">
      <w:pPr>
        <w:rPr>
          <w:b/>
          <w:bCs/>
        </w:rPr>
      </w:pPr>
      <w:r w:rsidRPr="006F6824">
        <w:rPr>
          <w:b/>
          <w:bCs/>
        </w:rPr>
        <w:t>TOWN OF DEERFIELD:  MVP PROJECTS TO DATE</w:t>
      </w:r>
    </w:p>
    <w:p w14:paraId="0CCD4827" w14:textId="77777777" w:rsidR="006F6824" w:rsidRDefault="006F6824" w:rsidP="006F6824">
      <w:pPr>
        <w:contextualSpacing/>
        <w:rPr>
          <w:rFonts w:ascii="Arial" w:eastAsiaTheme="majorEastAsia" w:hAnsi="Arial" w:cs="Arial"/>
          <w:bCs/>
          <w:kern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1980"/>
        <w:gridCol w:w="1530"/>
        <w:gridCol w:w="4320"/>
      </w:tblGrid>
      <w:tr w:rsidR="006F6824" w14:paraId="6CB40AF5" w14:textId="77777777" w:rsidTr="00D263E9">
        <w:tc>
          <w:tcPr>
            <w:tcW w:w="1525" w:type="dxa"/>
          </w:tcPr>
          <w:p w14:paraId="3A55C1F5" w14:textId="77777777" w:rsidR="006F6824" w:rsidRDefault="006F6824" w:rsidP="00D263E9">
            <w:pPr>
              <w:contextualSpacing/>
              <w:rPr>
                <w:rFonts w:ascii="Arial" w:eastAsiaTheme="majorEastAsia" w:hAnsi="Arial" w:cs="Arial"/>
                <w:b/>
                <w:kern w:val="24"/>
              </w:rPr>
            </w:pPr>
            <w:r>
              <w:rPr>
                <w:rFonts w:ascii="Arial" w:eastAsiaTheme="majorEastAsia" w:hAnsi="Arial" w:cs="Arial"/>
                <w:b/>
                <w:kern w:val="24"/>
              </w:rPr>
              <w:t>Fiscal Year</w:t>
            </w:r>
          </w:p>
        </w:tc>
        <w:tc>
          <w:tcPr>
            <w:tcW w:w="1980" w:type="dxa"/>
          </w:tcPr>
          <w:p w14:paraId="06FE99EA" w14:textId="77777777" w:rsidR="006F6824" w:rsidRDefault="006F6824" w:rsidP="00D263E9">
            <w:pPr>
              <w:contextualSpacing/>
              <w:rPr>
                <w:rFonts w:ascii="Arial" w:eastAsiaTheme="majorEastAsia" w:hAnsi="Arial" w:cs="Arial"/>
                <w:b/>
                <w:kern w:val="24"/>
              </w:rPr>
            </w:pPr>
            <w:r>
              <w:rPr>
                <w:rFonts w:ascii="Arial" w:eastAsiaTheme="majorEastAsia" w:hAnsi="Arial" w:cs="Arial"/>
                <w:b/>
                <w:kern w:val="24"/>
              </w:rPr>
              <w:t>Grant Type</w:t>
            </w:r>
          </w:p>
        </w:tc>
        <w:tc>
          <w:tcPr>
            <w:tcW w:w="1530" w:type="dxa"/>
          </w:tcPr>
          <w:p w14:paraId="70636B8A" w14:textId="77777777" w:rsidR="006F6824" w:rsidRDefault="006F6824" w:rsidP="00D263E9">
            <w:pPr>
              <w:contextualSpacing/>
              <w:rPr>
                <w:rFonts w:ascii="Arial" w:eastAsiaTheme="majorEastAsia" w:hAnsi="Arial" w:cs="Arial"/>
                <w:b/>
                <w:kern w:val="24"/>
              </w:rPr>
            </w:pPr>
            <w:r>
              <w:rPr>
                <w:rFonts w:ascii="Arial" w:eastAsiaTheme="majorEastAsia" w:hAnsi="Arial" w:cs="Arial"/>
                <w:b/>
                <w:kern w:val="24"/>
              </w:rPr>
              <w:t xml:space="preserve">Amount </w:t>
            </w:r>
          </w:p>
        </w:tc>
        <w:tc>
          <w:tcPr>
            <w:tcW w:w="4320" w:type="dxa"/>
          </w:tcPr>
          <w:p w14:paraId="31217C8D" w14:textId="77777777" w:rsidR="006F6824" w:rsidRDefault="006F6824" w:rsidP="00D263E9">
            <w:pPr>
              <w:contextualSpacing/>
              <w:rPr>
                <w:rFonts w:ascii="Arial" w:eastAsiaTheme="majorEastAsia" w:hAnsi="Arial" w:cs="Arial"/>
                <w:b/>
                <w:kern w:val="24"/>
              </w:rPr>
            </w:pPr>
            <w:r>
              <w:rPr>
                <w:rFonts w:ascii="Arial" w:eastAsiaTheme="majorEastAsia" w:hAnsi="Arial" w:cs="Arial"/>
                <w:b/>
                <w:kern w:val="24"/>
              </w:rPr>
              <w:t>Components</w:t>
            </w:r>
          </w:p>
        </w:tc>
      </w:tr>
      <w:tr w:rsidR="006F6824" w14:paraId="4D74765B" w14:textId="77777777" w:rsidTr="00D263E9">
        <w:tc>
          <w:tcPr>
            <w:tcW w:w="1525" w:type="dxa"/>
          </w:tcPr>
          <w:p w14:paraId="52153BC2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7B1209">
              <w:rPr>
                <w:rFonts w:ascii="Arial" w:eastAsiaTheme="majorEastAsia" w:hAnsi="Arial" w:cs="Arial"/>
                <w:bCs/>
                <w:kern w:val="24"/>
              </w:rPr>
              <w:t>FY17</w:t>
            </w:r>
          </w:p>
        </w:tc>
        <w:tc>
          <w:tcPr>
            <w:tcW w:w="1980" w:type="dxa"/>
          </w:tcPr>
          <w:p w14:paraId="13A26AE7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Planning</w:t>
            </w:r>
          </w:p>
        </w:tc>
        <w:tc>
          <w:tcPr>
            <w:tcW w:w="1530" w:type="dxa"/>
          </w:tcPr>
          <w:p w14:paraId="58EBE932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$15,000</w:t>
            </w:r>
          </w:p>
        </w:tc>
        <w:tc>
          <w:tcPr>
            <w:tcW w:w="4320" w:type="dxa"/>
          </w:tcPr>
          <w:p w14:paraId="6D5E15BA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Workshop and action plan</w:t>
            </w:r>
          </w:p>
        </w:tc>
      </w:tr>
      <w:tr w:rsidR="006F6824" w14:paraId="1DD64051" w14:textId="77777777" w:rsidTr="00D263E9">
        <w:tc>
          <w:tcPr>
            <w:tcW w:w="1525" w:type="dxa"/>
          </w:tcPr>
          <w:p w14:paraId="07ED6F95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7B1209">
              <w:rPr>
                <w:rFonts w:ascii="Arial" w:eastAsiaTheme="majorEastAsia" w:hAnsi="Arial" w:cs="Arial"/>
                <w:bCs/>
                <w:kern w:val="24"/>
              </w:rPr>
              <w:t>FY18</w:t>
            </w:r>
          </w:p>
        </w:tc>
        <w:tc>
          <w:tcPr>
            <w:tcW w:w="1980" w:type="dxa"/>
          </w:tcPr>
          <w:p w14:paraId="3ADE5789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Action</w:t>
            </w:r>
          </w:p>
        </w:tc>
        <w:tc>
          <w:tcPr>
            <w:tcW w:w="1530" w:type="dxa"/>
          </w:tcPr>
          <w:p w14:paraId="7ED0E347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$66,936</w:t>
            </w:r>
          </w:p>
        </w:tc>
        <w:tc>
          <w:tcPr>
            <w:tcW w:w="4320" w:type="dxa"/>
          </w:tcPr>
          <w:p w14:paraId="2EAC2A0F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Mill Village Road culvert design, floodplain zoning bylaw</w:t>
            </w:r>
          </w:p>
        </w:tc>
      </w:tr>
      <w:tr w:rsidR="006F6824" w14:paraId="6E56BA44" w14:textId="77777777" w:rsidTr="00D263E9">
        <w:tc>
          <w:tcPr>
            <w:tcW w:w="1525" w:type="dxa"/>
          </w:tcPr>
          <w:p w14:paraId="3F6E261D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FY19</w:t>
            </w:r>
          </w:p>
        </w:tc>
        <w:tc>
          <w:tcPr>
            <w:tcW w:w="1980" w:type="dxa"/>
          </w:tcPr>
          <w:p w14:paraId="7FB8F355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Action</w:t>
            </w:r>
          </w:p>
        </w:tc>
        <w:tc>
          <w:tcPr>
            <w:tcW w:w="1530" w:type="dxa"/>
          </w:tcPr>
          <w:p w14:paraId="755C0B0C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bookmarkStart w:id="0" w:name="_Hlk158405690"/>
            <w:r>
              <w:rPr>
                <w:rFonts w:ascii="Arial" w:eastAsiaTheme="majorEastAsia" w:hAnsi="Arial" w:cs="Arial"/>
                <w:bCs/>
                <w:kern w:val="24"/>
              </w:rPr>
              <w:t>$389,069</w:t>
            </w:r>
            <w:bookmarkEnd w:id="0"/>
          </w:p>
        </w:tc>
        <w:tc>
          <w:tcPr>
            <w:tcW w:w="4320" w:type="dxa"/>
          </w:tcPr>
          <w:p w14:paraId="6720BF45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Mill Village Road culvert c</w:t>
            </w:r>
            <w:r w:rsidRPr="00E77046">
              <w:rPr>
                <w:rFonts w:ascii="Arial" w:eastAsiaTheme="majorEastAsia" w:hAnsi="Arial" w:cs="Arial"/>
                <w:kern w:val="24"/>
              </w:rPr>
              <w:t>onstruction</w:t>
            </w:r>
            <w:r>
              <w:rPr>
                <w:rFonts w:ascii="Arial" w:eastAsiaTheme="majorEastAsia" w:hAnsi="Arial" w:cs="Arial"/>
                <w:bCs/>
                <w:kern w:val="24"/>
              </w:rPr>
              <w:t>, d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esign for </w:t>
            </w:r>
            <w:r>
              <w:rPr>
                <w:rFonts w:ascii="Arial" w:eastAsiaTheme="majorEastAsia" w:hAnsi="Arial" w:cs="Arial"/>
                <w:bCs/>
                <w:kern w:val="24"/>
              </w:rPr>
              <w:t>r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eplacement </w:t>
            </w:r>
            <w:r>
              <w:rPr>
                <w:rFonts w:ascii="Arial" w:eastAsiaTheme="majorEastAsia" w:hAnsi="Arial" w:cs="Arial"/>
                <w:bCs/>
                <w:kern w:val="24"/>
              </w:rPr>
              <w:t>c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>ulvert on Kelleher Drive</w:t>
            </w:r>
            <w:r>
              <w:rPr>
                <w:rFonts w:ascii="Arial" w:eastAsiaTheme="majorEastAsia" w:hAnsi="Arial" w:cs="Arial"/>
                <w:bCs/>
                <w:kern w:val="24"/>
              </w:rPr>
              <w:t>, e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ngineering </w:t>
            </w:r>
            <w:r>
              <w:rPr>
                <w:rFonts w:ascii="Arial" w:eastAsiaTheme="majorEastAsia" w:hAnsi="Arial" w:cs="Arial"/>
                <w:bCs/>
                <w:kern w:val="24"/>
              </w:rPr>
              <w:t>d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esigns for </w:t>
            </w:r>
            <w:r>
              <w:rPr>
                <w:rFonts w:ascii="Arial" w:eastAsiaTheme="majorEastAsia" w:hAnsi="Arial" w:cs="Arial"/>
                <w:bCs/>
                <w:kern w:val="24"/>
              </w:rPr>
              <w:t>t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ree </w:t>
            </w:r>
            <w:r>
              <w:rPr>
                <w:rFonts w:ascii="Arial" w:eastAsiaTheme="majorEastAsia" w:hAnsi="Arial" w:cs="Arial"/>
                <w:bCs/>
                <w:kern w:val="24"/>
              </w:rPr>
              <w:t>b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ox </w:t>
            </w:r>
            <w:r>
              <w:rPr>
                <w:rFonts w:ascii="Arial" w:eastAsiaTheme="majorEastAsia" w:hAnsi="Arial" w:cs="Arial"/>
                <w:bCs/>
                <w:kern w:val="24"/>
              </w:rPr>
              <w:t>f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ilters and </w:t>
            </w:r>
            <w:r>
              <w:rPr>
                <w:rFonts w:ascii="Arial" w:eastAsiaTheme="majorEastAsia" w:hAnsi="Arial" w:cs="Arial"/>
                <w:bCs/>
                <w:kern w:val="24"/>
              </w:rPr>
              <w:t>r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ain </w:t>
            </w:r>
            <w:r>
              <w:rPr>
                <w:rFonts w:ascii="Arial" w:eastAsiaTheme="majorEastAsia" w:hAnsi="Arial" w:cs="Arial"/>
                <w:bCs/>
                <w:kern w:val="24"/>
              </w:rPr>
              <w:t>g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ardens for </w:t>
            </w:r>
            <w:r>
              <w:rPr>
                <w:rFonts w:ascii="Arial" w:eastAsiaTheme="majorEastAsia" w:hAnsi="Arial" w:cs="Arial"/>
                <w:bCs/>
                <w:kern w:val="24"/>
              </w:rPr>
              <w:t>t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own </w:t>
            </w:r>
            <w:r>
              <w:rPr>
                <w:rFonts w:ascii="Arial" w:eastAsiaTheme="majorEastAsia" w:hAnsi="Arial" w:cs="Arial"/>
                <w:bCs/>
                <w:kern w:val="24"/>
              </w:rPr>
              <w:t>c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 xml:space="preserve">enter and </w:t>
            </w:r>
            <w:r>
              <w:rPr>
                <w:rFonts w:ascii="Arial" w:eastAsiaTheme="majorEastAsia" w:hAnsi="Arial" w:cs="Arial"/>
                <w:bCs/>
                <w:kern w:val="24"/>
              </w:rPr>
              <w:t>s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>chools</w:t>
            </w:r>
            <w:r>
              <w:rPr>
                <w:rFonts w:ascii="Arial" w:eastAsiaTheme="majorEastAsia" w:hAnsi="Arial" w:cs="Arial"/>
                <w:bCs/>
                <w:kern w:val="24"/>
              </w:rPr>
              <w:t>, c</w:t>
            </w:r>
            <w:r w:rsidRPr="00D6562A">
              <w:rPr>
                <w:rFonts w:ascii="Arial" w:eastAsiaTheme="majorEastAsia" w:hAnsi="Arial" w:cs="Arial"/>
                <w:bCs/>
                <w:kern w:val="24"/>
              </w:rPr>
              <w:t>oordinate “Climate Resiliency: Deerfield 2030 Forum”</w:t>
            </w:r>
            <w:r>
              <w:rPr>
                <w:rFonts w:ascii="Arial" w:eastAsiaTheme="majorEastAsia" w:hAnsi="Arial" w:cs="Arial"/>
                <w:bCs/>
                <w:kern w:val="24"/>
              </w:rPr>
              <w:t xml:space="preserve">, more.   </w:t>
            </w:r>
          </w:p>
        </w:tc>
      </w:tr>
      <w:tr w:rsidR="006F6824" w14:paraId="5AEFB34A" w14:textId="77777777" w:rsidTr="00D263E9">
        <w:tc>
          <w:tcPr>
            <w:tcW w:w="1525" w:type="dxa"/>
          </w:tcPr>
          <w:p w14:paraId="1034BABE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FY20</w:t>
            </w:r>
          </w:p>
        </w:tc>
        <w:tc>
          <w:tcPr>
            <w:tcW w:w="1980" w:type="dxa"/>
          </w:tcPr>
          <w:p w14:paraId="51ECBE33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Action</w:t>
            </w:r>
          </w:p>
        </w:tc>
        <w:tc>
          <w:tcPr>
            <w:tcW w:w="1530" w:type="dxa"/>
          </w:tcPr>
          <w:p w14:paraId="024986B1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$769,145</w:t>
            </w:r>
          </w:p>
        </w:tc>
        <w:tc>
          <w:tcPr>
            <w:tcW w:w="4320" w:type="dxa"/>
          </w:tcPr>
          <w:p w14:paraId="59C0F7CF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830683">
              <w:rPr>
                <w:rFonts w:ascii="Arial" w:eastAsiaTheme="majorEastAsia" w:hAnsi="Arial" w:cs="Arial"/>
                <w:bCs/>
                <w:kern w:val="24"/>
              </w:rPr>
              <w:t>Construction of Kelleher Drive</w:t>
            </w:r>
            <w:r>
              <w:rPr>
                <w:rFonts w:ascii="Arial" w:eastAsiaTheme="majorEastAsia" w:hAnsi="Arial" w:cs="Arial"/>
                <w:bCs/>
                <w:kern w:val="24"/>
              </w:rPr>
              <w:t xml:space="preserve"> c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>ulvert</w:t>
            </w:r>
            <w:r>
              <w:rPr>
                <w:rFonts w:ascii="Arial" w:eastAsiaTheme="majorEastAsia" w:hAnsi="Arial" w:cs="Arial"/>
                <w:bCs/>
                <w:kern w:val="24"/>
              </w:rPr>
              <w:t>, design and c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 xml:space="preserve">onstruction of </w:t>
            </w:r>
            <w:r>
              <w:rPr>
                <w:rFonts w:ascii="Arial" w:eastAsiaTheme="majorEastAsia" w:hAnsi="Arial" w:cs="Arial"/>
                <w:bCs/>
                <w:kern w:val="24"/>
              </w:rPr>
              <w:t>g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 xml:space="preserve">reen </w:t>
            </w:r>
            <w:r>
              <w:rPr>
                <w:rFonts w:ascii="Arial" w:eastAsiaTheme="majorEastAsia" w:hAnsi="Arial" w:cs="Arial"/>
                <w:bCs/>
                <w:kern w:val="24"/>
              </w:rPr>
              <w:t>i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>nfrastructure in Deerfield Town Center</w:t>
            </w:r>
            <w:r>
              <w:rPr>
                <w:rFonts w:ascii="Arial" w:eastAsiaTheme="majorEastAsia" w:hAnsi="Arial" w:cs="Arial"/>
                <w:bCs/>
                <w:kern w:val="24"/>
              </w:rPr>
              <w:t>, Historic Deerfield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 xml:space="preserve"> and at </w:t>
            </w:r>
            <w:r>
              <w:rPr>
                <w:rFonts w:ascii="Arial" w:eastAsiaTheme="majorEastAsia" w:hAnsi="Arial" w:cs="Arial"/>
                <w:bCs/>
                <w:kern w:val="24"/>
              </w:rPr>
              <w:t>s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>chools</w:t>
            </w:r>
            <w:r>
              <w:rPr>
                <w:rFonts w:ascii="Arial" w:eastAsiaTheme="majorEastAsia" w:hAnsi="Arial" w:cs="Arial"/>
                <w:bCs/>
                <w:kern w:val="24"/>
              </w:rPr>
              <w:t xml:space="preserve">, 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 xml:space="preserve">Frontier High School </w:t>
            </w:r>
            <w:r>
              <w:rPr>
                <w:rFonts w:ascii="Arial" w:eastAsiaTheme="majorEastAsia" w:hAnsi="Arial" w:cs="Arial"/>
                <w:bCs/>
                <w:kern w:val="24"/>
              </w:rPr>
              <w:t>s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 xml:space="preserve">tudent </w:t>
            </w:r>
            <w:r>
              <w:rPr>
                <w:rFonts w:ascii="Arial" w:eastAsiaTheme="majorEastAsia" w:hAnsi="Arial" w:cs="Arial"/>
                <w:bCs/>
                <w:kern w:val="24"/>
              </w:rPr>
              <w:t>e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 xml:space="preserve">ngagement on </w:t>
            </w:r>
            <w:r>
              <w:rPr>
                <w:rFonts w:ascii="Arial" w:eastAsiaTheme="majorEastAsia" w:hAnsi="Arial" w:cs="Arial"/>
                <w:bCs/>
                <w:kern w:val="24"/>
              </w:rPr>
              <w:t>c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 xml:space="preserve">limate </w:t>
            </w:r>
            <w:r>
              <w:rPr>
                <w:rFonts w:ascii="Arial" w:eastAsiaTheme="majorEastAsia" w:hAnsi="Arial" w:cs="Arial"/>
                <w:bCs/>
                <w:kern w:val="24"/>
              </w:rPr>
              <w:t>r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>esiliency</w:t>
            </w:r>
            <w:r>
              <w:rPr>
                <w:rFonts w:ascii="Arial" w:eastAsiaTheme="majorEastAsia" w:hAnsi="Arial" w:cs="Arial"/>
                <w:bCs/>
                <w:kern w:val="24"/>
              </w:rPr>
              <w:t>, zoning for c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 xml:space="preserve">limate </w:t>
            </w:r>
            <w:r>
              <w:rPr>
                <w:rFonts w:ascii="Arial" w:eastAsiaTheme="majorEastAsia" w:hAnsi="Arial" w:cs="Arial"/>
                <w:bCs/>
                <w:kern w:val="24"/>
              </w:rPr>
              <w:t>r</w:t>
            </w:r>
            <w:r w:rsidRPr="00830683">
              <w:rPr>
                <w:rFonts w:ascii="Arial" w:eastAsiaTheme="majorEastAsia" w:hAnsi="Arial" w:cs="Arial"/>
                <w:bCs/>
                <w:kern w:val="24"/>
              </w:rPr>
              <w:t xml:space="preserve">esiliency </w:t>
            </w:r>
          </w:p>
        </w:tc>
      </w:tr>
      <w:tr w:rsidR="006F6824" w14:paraId="00994205" w14:textId="77777777" w:rsidTr="00D263E9">
        <w:tc>
          <w:tcPr>
            <w:tcW w:w="1525" w:type="dxa"/>
          </w:tcPr>
          <w:p w14:paraId="38BE0EBA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FY22</w:t>
            </w:r>
          </w:p>
        </w:tc>
        <w:tc>
          <w:tcPr>
            <w:tcW w:w="1980" w:type="dxa"/>
          </w:tcPr>
          <w:p w14:paraId="6E47BE2C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Action</w:t>
            </w:r>
          </w:p>
        </w:tc>
        <w:tc>
          <w:tcPr>
            <w:tcW w:w="1530" w:type="dxa"/>
          </w:tcPr>
          <w:p w14:paraId="51579E90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$64,523</w:t>
            </w:r>
          </w:p>
        </w:tc>
        <w:tc>
          <w:tcPr>
            <w:tcW w:w="4320" w:type="dxa"/>
          </w:tcPr>
          <w:p w14:paraId="296AC877" w14:textId="77777777" w:rsidR="006F6824" w:rsidRPr="007B1209" w:rsidRDefault="006F6824" w:rsidP="00D263E9">
            <w:pPr>
              <w:rPr>
                <w:rFonts w:ascii="Arial" w:eastAsiaTheme="majorEastAsia" w:hAnsi="Arial" w:cs="Arial"/>
                <w:bCs/>
                <w:kern w:val="24"/>
              </w:rPr>
            </w:pPr>
            <w:r w:rsidRPr="00830683">
              <w:rPr>
                <w:rFonts w:ascii="Arial" w:eastAsia="Times New Roman" w:hAnsi="Arial" w:cs="Arial"/>
              </w:rPr>
              <w:t xml:space="preserve">Green Infrastructure Policy </w:t>
            </w:r>
            <w:r>
              <w:rPr>
                <w:rFonts w:ascii="Arial" w:eastAsia="Times New Roman" w:hAnsi="Arial" w:cs="Arial"/>
              </w:rPr>
              <w:t>i</w:t>
            </w:r>
            <w:r w:rsidRPr="00830683">
              <w:rPr>
                <w:rFonts w:ascii="Arial" w:eastAsia="Times New Roman" w:hAnsi="Arial" w:cs="Arial"/>
              </w:rPr>
              <w:t>mplementation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E77046">
              <w:rPr>
                <w:rFonts w:ascii="Arial" w:eastAsiaTheme="majorEastAsia" w:hAnsi="Arial" w:cs="Arial"/>
                <w:kern w:val="24"/>
              </w:rPr>
              <w:t>Frontier Climate Science</w:t>
            </w:r>
            <w:r>
              <w:rPr>
                <w:rFonts w:ascii="Arial" w:eastAsiaTheme="majorEastAsia" w:hAnsi="Arial" w:cs="Arial"/>
                <w:kern w:val="24"/>
              </w:rPr>
              <w:t xml:space="preserve"> curriculum, </w:t>
            </w:r>
            <w:r w:rsidRPr="00E77046">
              <w:rPr>
                <w:rFonts w:ascii="Arial" w:eastAsia="Times New Roman" w:hAnsi="Arial" w:cs="Arial"/>
              </w:rPr>
              <w:t xml:space="preserve">Healthy Soils Pilot Demonstration </w:t>
            </w:r>
            <w:r>
              <w:rPr>
                <w:rFonts w:ascii="Arial" w:eastAsia="Times New Roman" w:hAnsi="Arial" w:cs="Arial"/>
              </w:rPr>
              <w:t>p</w:t>
            </w:r>
            <w:r w:rsidRPr="00E77046">
              <w:rPr>
                <w:rFonts w:ascii="Arial" w:eastAsia="Times New Roman" w:hAnsi="Arial" w:cs="Arial"/>
              </w:rPr>
              <w:t>roject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E77046">
              <w:rPr>
                <w:rFonts w:ascii="Arial" w:eastAsia="Times New Roman" w:hAnsi="Arial" w:cs="Arial"/>
              </w:rPr>
              <w:t xml:space="preserve">Community Climate Resiliency </w:t>
            </w:r>
            <w:proofErr w:type="spellStart"/>
            <w:proofErr w:type="gramStart"/>
            <w:r w:rsidRPr="00E77046">
              <w:rPr>
                <w:rFonts w:ascii="Arial" w:eastAsia="Times New Roman" w:hAnsi="Arial" w:cs="Arial"/>
              </w:rPr>
              <w:t>Forum</w:t>
            </w:r>
            <w:r>
              <w:rPr>
                <w:rFonts w:ascii="Arial" w:eastAsia="Times New Roman" w:hAnsi="Arial" w:cs="Arial"/>
              </w:rPr>
              <w:t>,</w:t>
            </w:r>
            <w:r w:rsidRPr="00E77046">
              <w:rPr>
                <w:rFonts w:ascii="Arial" w:eastAsia="Times New Roman" w:hAnsi="Arial" w:cs="Arial"/>
              </w:rPr>
              <w:t>Climate</w:t>
            </w:r>
            <w:proofErr w:type="spellEnd"/>
            <w:proofErr w:type="gramEnd"/>
            <w:r w:rsidRPr="00E77046">
              <w:rPr>
                <w:rFonts w:ascii="Arial" w:eastAsia="Times New Roman" w:hAnsi="Arial" w:cs="Arial"/>
              </w:rPr>
              <w:t xml:space="preserve"> Resiliency Website</w:t>
            </w:r>
          </w:p>
        </w:tc>
      </w:tr>
      <w:tr w:rsidR="006F6824" w14:paraId="6E79461C" w14:textId="77777777" w:rsidTr="00D263E9">
        <w:tc>
          <w:tcPr>
            <w:tcW w:w="1525" w:type="dxa"/>
          </w:tcPr>
          <w:p w14:paraId="1286638E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FY24-25</w:t>
            </w:r>
          </w:p>
        </w:tc>
        <w:tc>
          <w:tcPr>
            <w:tcW w:w="1980" w:type="dxa"/>
          </w:tcPr>
          <w:p w14:paraId="48A5F8BB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Action</w:t>
            </w:r>
          </w:p>
        </w:tc>
        <w:tc>
          <w:tcPr>
            <w:tcW w:w="1530" w:type="dxa"/>
          </w:tcPr>
          <w:p w14:paraId="2244017A" w14:textId="77777777" w:rsidR="006F6824" w:rsidRPr="007B1209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>
              <w:rPr>
                <w:rFonts w:ascii="Arial" w:eastAsiaTheme="majorEastAsia" w:hAnsi="Arial" w:cs="Arial"/>
                <w:bCs/>
                <w:kern w:val="24"/>
              </w:rPr>
              <w:t>$308,387</w:t>
            </w:r>
          </w:p>
        </w:tc>
        <w:tc>
          <w:tcPr>
            <w:tcW w:w="4320" w:type="dxa"/>
          </w:tcPr>
          <w:p w14:paraId="25F977E5" w14:textId="77777777" w:rsidR="006F6824" w:rsidRPr="007B1209" w:rsidRDefault="006F6824" w:rsidP="00D263E9">
            <w:pPr>
              <w:rPr>
                <w:rFonts w:ascii="Arial" w:eastAsiaTheme="majorEastAsia" w:hAnsi="Arial" w:cs="Arial"/>
                <w:bCs/>
                <w:kern w:val="24"/>
              </w:rPr>
            </w:pPr>
            <w:r w:rsidRPr="003E3FE9">
              <w:rPr>
                <w:rFonts w:ascii="Arial" w:eastAsia="Times New Roman" w:hAnsi="Arial" w:cs="Arial"/>
              </w:rPr>
              <w:t xml:space="preserve">Construction of </w:t>
            </w:r>
            <w:r>
              <w:rPr>
                <w:rFonts w:ascii="Arial" w:eastAsia="Times New Roman" w:hAnsi="Arial" w:cs="Arial"/>
              </w:rPr>
              <w:t>g</w:t>
            </w:r>
            <w:r w:rsidRPr="003E3FE9">
              <w:rPr>
                <w:rFonts w:ascii="Arial" w:eastAsia="Times New Roman" w:hAnsi="Arial" w:cs="Arial"/>
              </w:rPr>
              <w:t xml:space="preserve">reen </w:t>
            </w:r>
            <w:r>
              <w:rPr>
                <w:rFonts w:ascii="Arial" w:eastAsia="Times New Roman" w:hAnsi="Arial" w:cs="Arial"/>
              </w:rPr>
              <w:t>i</w:t>
            </w:r>
            <w:r w:rsidRPr="003E3FE9">
              <w:rPr>
                <w:rFonts w:ascii="Arial" w:eastAsia="Times New Roman" w:hAnsi="Arial" w:cs="Arial"/>
              </w:rPr>
              <w:t>nfrastructure for Historic Deerfield</w:t>
            </w:r>
            <w:r>
              <w:rPr>
                <w:rFonts w:ascii="Arial" w:eastAsia="Times New Roman" w:hAnsi="Arial" w:cs="Arial"/>
              </w:rPr>
              <w:t>, c</w:t>
            </w:r>
            <w:r w:rsidRPr="00E77046">
              <w:rPr>
                <w:rFonts w:ascii="Arial" w:eastAsia="Times New Roman" w:hAnsi="Arial" w:cs="Arial"/>
              </w:rPr>
              <w:t xml:space="preserve">onstruction of </w:t>
            </w:r>
            <w:r>
              <w:rPr>
                <w:rFonts w:ascii="Arial" w:eastAsia="Times New Roman" w:hAnsi="Arial" w:cs="Arial"/>
              </w:rPr>
              <w:t>g</w:t>
            </w:r>
            <w:r w:rsidRPr="00E77046">
              <w:rPr>
                <w:rFonts w:ascii="Arial" w:eastAsia="Times New Roman" w:hAnsi="Arial" w:cs="Arial"/>
              </w:rPr>
              <w:t xml:space="preserve">reen </w:t>
            </w:r>
            <w:r>
              <w:rPr>
                <w:rFonts w:ascii="Arial" w:eastAsia="Times New Roman" w:hAnsi="Arial" w:cs="Arial"/>
              </w:rPr>
              <w:t>i</w:t>
            </w:r>
            <w:r w:rsidRPr="00E77046">
              <w:rPr>
                <w:rFonts w:ascii="Arial" w:eastAsia="Times New Roman" w:hAnsi="Arial" w:cs="Arial"/>
              </w:rPr>
              <w:t>nfrastructure at Town Center Leary Lot</w:t>
            </w:r>
            <w:r>
              <w:rPr>
                <w:rFonts w:ascii="Arial" w:eastAsia="Times New Roman" w:hAnsi="Arial" w:cs="Arial"/>
              </w:rPr>
              <w:t>, c</w:t>
            </w:r>
            <w:r w:rsidRPr="00E77046">
              <w:rPr>
                <w:rFonts w:ascii="Arial" w:eastAsia="Times New Roman" w:hAnsi="Arial" w:cs="Arial"/>
              </w:rPr>
              <w:t xml:space="preserve">onstruction of </w:t>
            </w:r>
            <w:r>
              <w:rPr>
                <w:rFonts w:ascii="Arial" w:eastAsia="Times New Roman" w:hAnsi="Arial" w:cs="Arial"/>
              </w:rPr>
              <w:t>g</w:t>
            </w:r>
            <w:r w:rsidRPr="00E77046">
              <w:rPr>
                <w:rFonts w:ascii="Arial" w:eastAsia="Times New Roman" w:hAnsi="Arial" w:cs="Arial"/>
              </w:rPr>
              <w:t xml:space="preserve">reen </w:t>
            </w:r>
            <w:r>
              <w:rPr>
                <w:rFonts w:ascii="Arial" w:eastAsia="Times New Roman" w:hAnsi="Arial" w:cs="Arial"/>
              </w:rPr>
              <w:t>e</w:t>
            </w:r>
            <w:r w:rsidRPr="00E77046">
              <w:rPr>
                <w:rFonts w:ascii="Arial" w:eastAsia="Times New Roman" w:hAnsi="Arial" w:cs="Arial"/>
              </w:rPr>
              <w:t>ntryway at Deerfield Elementary School</w:t>
            </w:r>
          </w:p>
        </w:tc>
      </w:tr>
      <w:tr w:rsidR="006F6824" w:rsidRPr="006F6824" w14:paraId="06C19103" w14:textId="77777777" w:rsidTr="00D263E9">
        <w:tc>
          <w:tcPr>
            <w:tcW w:w="1525" w:type="dxa"/>
          </w:tcPr>
          <w:p w14:paraId="3D8389AC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FY25</w:t>
            </w:r>
          </w:p>
        </w:tc>
        <w:tc>
          <w:tcPr>
            <w:tcW w:w="1980" w:type="dxa"/>
          </w:tcPr>
          <w:p w14:paraId="7A455BBB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MVP 2.0 Planning</w:t>
            </w:r>
          </w:p>
        </w:tc>
        <w:tc>
          <w:tcPr>
            <w:tcW w:w="1530" w:type="dxa"/>
          </w:tcPr>
          <w:p w14:paraId="51DD0361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$95,000</w:t>
            </w:r>
          </w:p>
        </w:tc>
        <w:tc>
          <w:tcPr>
            <w:tcW w:w="4320" w:type="dxa"/>
          </w:tcPr>
          <w:p w14:paraId="26D77030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Updated MVP Action Plan</w:t>
            </w:r>
          </w:p>
          <w:p w14:paraId="31F7B402" w14:textId="4C3080A0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Implemented Seed project</w:t>
            </w:r>
            <w:r>
              <w:rPr>
                <w:rFonts w:ascii="Arial" w:eastAsiaTheme="majorEastAsia" w:hAnsi="Arial" w:cs="Arial"/>
                <w:bCs/>
                <w:kern w:val="24"/>
              </w:rPr>
              <w:t>s</w:t>
            </w:r>
          </w:p>
        </w:tc>
      </w:tr>
      <w:tr w:rsidR="006F6824" w:rsidRPr="006F6824" w14:paraId="12343333" w14:textId="77777777" w:rsidTr="00D263E9">
        <w:tc>
          <w:tcPr>
            <w:tcW w:w="1525" w:type="dxa"/>
          </w:tcPr>
          <w:p w14:paraId="4AE4E33A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FY25</w:t>
            </w:r>
          </w:p>
        </w:tc>
        <w:tc>
          <w:tcPr>
            <w:tcW w:w="1980" w:type="dxa"/>
          </w:tcPr>
          <w:p w14:paraId="49EDF851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Action</w:t>
            </w:r>
          </w:p>
        </w:tc>
        <w:tc>
          <w:tcPr>
            <w:tcW w:w="1530" w:type="dxa"/>
          </w:tcPr>
          <w:p w14:paraId="495C29DF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$170,300</w:t>
            </w:r>
          </w:p>
        </w:tc>
        <w:tc>
          <w:tcPr>
            <w:tcW w:w="4320" w:type="dxa"/>
          </w:tcPr>
          <w:p w14:paraId="6FBF1FCF" w14:textId="46447B06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Deerfield Bloody Brook Resilience</w:t>
            </w:r>
            <w:r>
              <w:rPr>
                <w:rFonts w:ascii="Arial" w:eastAsiaTheme="majorEastAsia" w:hAnsi="Arial" w:cs="Arial"/>
                <w:bCs/>
                <w:kern w:val="24"/>
              </w:rPr>
              <w:t xml:space="preserve"> watershed study</w:t>
            </w:r>
          </w:p>
        </w:tc>
      </w:tr>
      <w:tr w:rsidR="006F6824" w:rsidRPr="006F6824" w14:paraId="4D717D9E" w14:textId="77777777" w:rsidTr="00D263E9">
        <w:tc>
          <w:tcPr>
            <w:tcW w:w="1525" w:type="dxa"/>
          </w:tcPr>
          <w:p w14:paraId="779CEDB0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 xml:space="preserve">TOTALS </w:t>
            </w:r>
          </w:p>
        </w:tc>
        <w:tc>
          <w:tcPr>
            <w:tcW w:w="1980" w:type="dxa"/>
          </w:tcPr>
          <w:p w14:paraId="5A5761B0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</w:p>
        </w:tc>
        <w:tc>
          <w:tcPr>
            <w:tcW w:w="1530" w:type="dxa"/>
          </w:tcPr>
          <w:p w14:paraId="654B7460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  <w:r w:rsidRPr="006F6824">
              <w:rPr>
                <w:rFonts w:ascii="Arial" w:eastAsiaTheme="majorEastAsia" w:hAnsi="Arial" w:cs="Arial"/>
                <w:bCs/>
                <w:kern w:val="24"/>
              </w:rPr>
              <w:t>$1,878,360</w:t>
            </w:r>
          </w:p>
        </w:tc>
        <w:tc>
          <w:tcPr>
            <w:tcW w:w="4320" w:type="dxa"/>
          </w:tcPr>
          <w:p w14:paraId="1ABC861B" w14:textId="77777777" w:rsidR="006F6824" w:rsidRPr="006F6824" w:rsidRDefault="006F6824" w:rsidP="00D263E9">
            <w:pPr>
              <w:contextualSpacing/>
              <w:rPr>
                <w:rFonts w:ascii="Arial" w:eastAsiaTheme="majorEastAsia" w:hAnsi="Arial" w:cs="Arial"/>
                <w:bCs/>
                <w:kern w:val="24"/>
              </w:rPr>
            </w:pPr>
          </w:p>
        </w:tc>
      </w:tr>
    </w:tbl>
    <w:p w14:paraId="15ECFF00" w14:textId="77777777" w:rsidR="006F6824" w:rsidRPr="006F6824" w:rsidRDefault="006F6824" w:rsidP="006F6824">
      <w:pPr>
        <w:contextualSpacing/>
        <w:rPr>
          <w:rFonts w:ascii="Arial" w:eastAsiaTheme="majorEastAsia" w:hAnsi="Arial" w:cs="Arial"/>
          <w:b/>
          <w:kern w:val="24"/>
        </w:rPr>
      </w:pPr>
    </w:p>
    <w:p w14:paraId="4B5E0115" w14:textId="77777777" w:rsidR="006F6824" w:rsidRDefault="006F6824"/>
    <w:sectPr w:rsidR="006F6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24"/>
    <w:rsid w:val="002C4DA0"/>
    <w:rsid w:val="002D2A73"/>
    <w:rsid w:val="006032C4"/>
    <w:rsid w:val="0064028B"/>
    <w:rsid w:val="006F6824"/>
    <w:rsid w:val="0083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B580"/>
  <w15:chartTrackingRefBased/>
  <w15:docId w15:val="{9C5637FB-449F-46EA-9BE8-E0A42A27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8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682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Curtis</dc:creator>
  <cp:keywords/>
  <dc:description/>
  <cp:lastModifiedBy>Christopher Curtis</cp:lastModifiedBy>
  <cp:revision>1</cp:revision>
  <dcterms:created xsi:type="dcterms:W3CDTF">2025-08-18T17:37:00Z</dcterms:created>
  <dcterms:modified xsi:type="dcterms:W3CDTF">2025-08-18T17:40:00Z</dcterms:modified>
</cp:coreProperties>
</file>